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651" w:rsidRPr="00C92CFE" w:rsidRDefault="005B1E65" w:rsidP="00C92CFE">
      <w:pPr>
        <w:jc w:val="center"/>
        <w:outlineLvl w:val="2"/>
        <w:rPr>
          <w:rFonts w:ascii="Calibri" w:hAnsi="Calibri" w:cs="Calibri"/>
          <w:b/>
          <w:bCs/>
          <w:caps/>
          <w:sz w:val="28"/>
        </w:rPr>
      </w:pPr>
      <w:r>
        <w:rPr>
          <w:rFonts w:ascii="Calibri" w:hAnsi="Calibri" w:cs="Calibri"/>
          <w:b/>
          <w:bCs/>
          <w:caps/>
          <w:sz w:val="28"/>
        </w:rPr>
        <w:t>propuesta</w:t>
      </w:r>
      <w:r w:rsidR="00C92CFE" w:rsidRPr="00C92CFE">
        <w:rPr>
          <w:rFonts w:ascii="Calibri" w:hAnsi="Calibri" w:cs="Calibri"/>
          <w:b/>
          <w:bCs/>
          <w:caps/>
          <w:sz w:val="28"/>
        </w:rPr>
        <w:t xml:space="preserve"> de alcaldia</w:t>
      </w:r>
    </w:p>
    <w:p w:rsidR="007F7651" w:rsidRDefault="007F7651" w:rsidP="007F7651">
      <w:pPr>
        <w:jc w:val="both"/>
        <w:rPr>
          <w:rFonts w:ascii="Calibri" w:hAnsi="Calibri" w:cs="Calibri"/>
        </w:rPr>
      </w:pPr>
    </w:p>
    <w:p w:rsidR="007F7651" w:rsidRPr="00A16CFD" w:rsidRDefault="007F7651" w:rsidP="007F7651">
      <w:pPr>
        <w:jc w:val="both"/>
        <w:rPr>
          <w:rFonts w:ascii="Calibri" w:hAnsi="Calibri" w:cs="Calibri"/>
          <w:b/>
          <w:bCs/>
        </w:rPr>
      </w:pPr>
      <w:r w:rsidRPr="00A16CFD">
        <w:rPr>
          <w:rFonts w:ascii="Calibri" w:hAnsi="Calibri" w:cs="Calibri"/>
        </w:rPr>
        <w:br/>
      </w:r>
      <w:bookmarkStart w:id="0" w:name="[EXP__DATGEN__NUL]"/>
      <w:bookmarkStart w:id="1" w:name="[EXP__DATGEN__PROCED]"/>
      <w:bookmarkStart w:id="2" w:name="[EXP__ENCAB__CUERP]"/>
      <w:bookmarkStart w:id="3" w:name="[EXP_DATGEN_NUG]"/>
      <w:bookmarkEnd w:id="0"/>
      <w:bookmarkEnd w:id="1"/>
      <w:bookmarkEnd w:id="2"/>
      <w:bookmarkEnd w:id="3"/>
      <w:r w:rsidRPr="00A16CFD">
        <w:rPr>
          <w:rFonts w:ascii="Calibri" w:hAnsi="Calibri" w:cs="Calibri"/>
        </w:rPr>
        <w:tab/>
        <w:t>El Titulo IV de la Norma Foral 21/2003, de 19 de diciembre, Presupuestaria de las Entidades Locales del Territorio Histórico de Gipuzkoa, contempla las funciones del control interno en las entidades locales respecto de su gestión económica propia y la de sus entidades dependientes. Esas funciones abarcan el control de legalidad en las actuaciones de contenido económico, el control financiero y el control económico de eficacia y eficiencia en el uso de los recursos públicos locales, considerando el sistema organizativo empleado y el coste en que se incurre para el logro de los objetivos programados.</w:t>
      </w:r>
      <w:r w:rsidRPr="00A16CFD">
        <w:rPr>
          <w:rFonts w:ascii="Calibri" w:hAnsi="Calibri" w:cs="Calibri"/>
          <w:color w:val="0070C0"/>
        </w:rPr>
        <w:t xml:space="preserve"> </w:t>
      </w:r>
    </w:p>
    <w:p w:rsidR="007F7651" w:rsidRPr="00A16CFD" w:rsidRDefault="007F7651" w:rsidP="007F7651">
      <w:pPr>
        <w:jc w:val="both"/>
        <w:rPr>
          <w:rFonts w:ascii="Calibri" w:hAnsi="Calibri" w:cs="Calibri"/>
          <w:color w:val="0070C0"/>
        </w:rPr>
      </w:pPr>
    </w:p>
    <w:p w:rsidR="007F7651" w:rsidRPr="00A16CFD" w:rsidRDefault="007F7651" w:rsidP="007F7651">
      <w:pPr>
        <w:jc w:val="both"/>
        <w:rPr>
          <w:rFonts w:ascii="Calibri" w:hAnsi="Calibri" w:cs="Calibri"/>
          <w:b/>
          <w:bCs/>
        </w:rPr>
      </w:pPr>
      <w:r w:rsidRPr="00A16CFD">
        <w:rPr>
          <w:rFonts w:ascii="Calibri" w:hAnsi="Calibri" w:cs="Calibri"/>
          <w:b/>
          <w:bCs/>
        </w:rPr>
        <w:tab/>
      </w:r>
      <w:r w:rsidRPr="00A16CFD">
        <w:rPr>
          <w:rFonts w:ascii="Calibri" w:hAnsi="Calibri" w:cs="Calibri"/>
        </w:rPr>
        <w:t xml:space="preserve">El precepto establece que, en función del momento de realización del control, éste puede ser previo o posterior a la aprobación del acto controlado.  </w:t>
      </w:r>
    </w:p>
    <w:p w:rsidR="007F7651" w:rsidRPr="00A16CFD" w:rsidRDefault="007F7651" w:rsidP="007F7651">
      <w:pPr>
        <w:jc w:val="both"/>
        <w:rPr>
          <w:rFonts w:ascii="Calibri" w:hAnsi="Calibri" w:cs="Calibri"/>
          <w:b/>
          <w:bCs/>
        </w:rPr>
      </w:pPr>
    </w:p>
    <w:p w:rsidR="007F7651" w:rsidRPr="00A16CFD" w:rsidRDefault="007F7651" w:rsidP="007F7651">
      <w:pPr>
        <w:jc w:val="both"/>
        <w:rPr>
          <w:rFonts w:ascii="Calibri" w:hAnsi="Calibri" w:cs="Calibri"/>
          <w:b/>
          <w:bCs/>
        </w:rPr>
      </w:pPr>
      <w:r w:rsidRPr="00A16CFD">
        <w:rPr>
          <w:rFonts w:ascii="Calibri" w:hAnsi="Calibri" w:cs="Calibri"/>
        </w:rPr>
        <w:tab/>
      </w:r>
      <w:r>
        <w:rPr>
          <w:rFonts w:ascii="Calibri" w:hAnsi="Calibri" w:cs="Calibri"/>
        </w:rPr>
        <w:t>E</w:t>
      </w:r>
      <w:r w:rsidRPr="00A16CFD">
        <w:rPr>
          <w:rFonts w:ascii="Calibri" w:hAnsi="Calibri" w:cs="Calibri"/>
        </w:rPr>
        <w:t>n relación con la fiscalización previa de derechos, dispone que las entidades locales podrán determinar, mediante acuerdo del Pleno, su sustitución por la inherente a la toma de razón en contabilidad y por actuaciones comprobatorias posteriores mediante la utilización de técnicas de muestreo o auditoría.</w:t>
      </w:r>
    </w:p>
    <w:p w:rsidR="007F7651" w:rsidRPr="00A16CFD" w:rsidRDefault="007F7651" w:rsidP="007F7651">
      <w:pPr>
        <w:jc w:val="both"/>
        <w:rPr>
          <w:rFonts w:ascii="Calibri" w:hAnsi="Calibri" w:cs="Calibri"/>
          <w:b/>
          <w:bCs/>
        </w:rPr>
      </w:pPr>
    </w:p>
    <w:p w:rsidR="007F7651" w:rsidRPr="00A16CFD" w:rsidRDefault="007F7651" w:rsidP="007F7651">
      <w:pPr>
        <w:jc w:val="both"/>
        <w:rPr>
          <w:rFonts w:ascii="Calibri" w:hAnsi="Calibri" w:cs="Calibri"/>
        </w:rPr>
      </w:pPr>
      <w:r w:rsidRPr="00A16CFD">
        <w:rPr>
          <w:rFonts w:ascii="Calibri" w:hAnsi="Calibri" w:cs="Calibri"/>
          <w:b/>
          <w:bCs/>
        </w:rPr>
        <w:tab/>
      </w:r>
      <w:r w:rsidRPr="00A16CFD">
        <w:rPr>
          <w:rFonts w:ascii="Calibri" w:hAnsi="Calibri" w:cs="Calibri"/>
        </w:rPr>
        <w:t>Asimismo, en relación con la fiscalización previa de gastos, dispone que el Pleno podrá acordar, a propuesta del presidente y previo informe del órgano interventor, que la intervención previa se limite a comprobar los extremos siguientes:</w:t>
      </w:r>
    </w:p>
    <w:p w:rsidR="007F7651" w:rsidRPr="00A16CFD" w:rsidRDefault="007F7651" w:rsidP="007F7651">
      <w:pPr>
        <w:jc w:val="both"/>
        <w:rPr>
          <w:rFonts w:ascii="Calibri" w:hAnsi="Calibri" w:cs="Calibri"/>
        </w:rPr>
      </w:pPr>
    </w:p>
    <w:p w:rsidR="007F7651" w:rsidRPr="00A16CFD" w:rsidRDefault="007F7651" w:rsidP="007F7651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A16CFD">
        <w:rPr>
          <w:rFonts w:ascii="Calibri" w:hAnsi="Calibri" w:cs="Calibri"/>
          <w:bCs/>
        </w:rPr>
        <w:t xml:space="preserve">Que existe crédito presupuestario y que el propuesto es el adecuado a la naturaleza del gasto u obligación que se proponga contraer. </w:t>
      </w:r>
    </w:p>
    <w:p w:rsidR="007F7651" w:rsidRPr="00A16CFD" w:rsidRDefault="007F7651" w:rsidP="007F7651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A16CFD">
        <w:rPr>
          <w:rFonts w:ascii="Calibri" w:hAnsi="Calibri" w:cs="Calibri"/>
          <w:bCs/>
        </w:rPr>
        <w:t>Que las obligaciones o gastos se generan por órgano competente.</w:t>
      </w:r>
    </w:p>
    <w:p w:rsidR="007F7651" w:rsidRPr="00A16CFD" w:rsidRDefault="007F7651" w:rsidP="007F7651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A16CFD">
        <w:rPr>
          <w:rFonts w:ascii="Calibri" w:hAnsi="Calibri" w:cs="Calibri"/>
          <w:bCs/>
        </w:rPr>
        <w:t>Aque</w:t>
      </w:r>
      <w:r w:rsidRPr="00A16CFD">
        <w:rPr>
          <w:rFonts w:ascii="Calibri" w:hAnsi="Calibri" w:cs="Calibri"/>
        </w:rPr>
        <w:t xml:space="preserve">llos otros extremos que, por su transcendencia en el proceso de gestión, se determinen por el Pleno. </w:t>
      </w:r>
    </w:p>
    <w:p w:rsidR="007F7651" w:rsidRPr="00A16CFD" w:rsidRDefault="007F7651" w:rsidP="007F7651">
      <w:pPr>
        <w:jc w:val="both"/>
        <w:rPr>
          <w:rFonts w:ascii="Calibri" w:hAnsi="Calibri" w:cs="Calibri"/>
        </w:rPr>
      </w:pPr>
    </w:p>
    <w:p w:rsidR="007F7651" w:rsidRPr="00A16CFD" w:rsidRDefault="007F7651" w:rsidP="007F7651">
      <w:pPr>
        <w:jc w:val="both"/>
        <w:rPr>
          <w:rFonts w:ascii="Calibri" w:hAnsi="Calibri" w:cs="Calibri"/>
        </w:rPr>
      </w:pPr>
      <w:r w:rsidRPr="00A16CFD">
        <w:rPr>
          <w:rFonts w:ascii="Calibri" w:hAnsi="Calibri" w:cs="Calibri"/>
          <w:bCs/>
        </w:rPr>
        <w:tab/>
      </w:r>
      <w:r w:rsidRPr="00A16CFD">
        <w:rPr>
          <w:rFonts w:ascii="Calibri" w:hAnsi="Calibri" w:cs="Calibri"/>
        </w:rPr>
        <w:t>En ese caso, las obligaciones o gastos sometidos a la fiscalización limitada podrán ser objeto de otra plena con posterioridad, ejercida sobre una muestra representativa de los actos, documentos o expedientes que dieron origen a la referida fiscalización, mediante la aplicación de técnicas de muestreo o auditoría.</w:t>
      </w:r>
      <w:r>
        <w:rPr>
          <w:rFonts w:ascii="Calibri" w:hAnsi="Calibri" w:cs="Calibri"/>
        </w:rPr>
        <w:t xml:space="preserve"> Todo ello </w:t>
      </w:r>
      <w:r w:rsidRPr="004F66F8">
        <w:rPr>
          <w:rFonts w:ascii="Calibri" w:hAnsi="Calibri" w:cs="Calibri"/>
        </w:rPr>
        <w:t>con el fin de verificar su adecuación a las disposiciones aplicables en cada caso y determinar el grado de cumplimiento de la legalidad en la gestión de los créditos</w:t>
      </w:r>
      <w:r>
        <w:rPr>
          <w:rFonts w:ascii="Calibri" w:hAnsi="Calibri" w:cs="Calibri"/>
        </w:rPr>
        <w:t>.</w:t>
      </w:r>
    </w:p>
    <w:p w:rsidR="007F7651" w:rsidRPr="00A16CFD" w:rsidRDefault="007F7651" w:rsidP="007F7651">
      <w:pPr>
        <w:jc w:val="both"/>
        <w:rPr>
          <w:rFonts w:ascii="Calibri" w:hAnsi="Calibri" w:cs="Calibri"/>
        </w:rPr>
      </w:pPr>
    </w:p>
    <w:p w:rsidR="007F7651" w:rsidRDefault="007F7651" w:rsidP="007F7651">
      <w:pPr>
        <w:jc w:val="both"/>
        <w:rPr>
          <w:rFonts w:ascii="Calibri" w:hAnsi="Calibri" w:cs="Calibri"/>
        </w:rPr>
      </w:pPr>
      <w:r w:rsidRPr="00646D0D">
        <w:tab/>
      </w:r>
      <w:r w:rsidRPr="00A16CFD">
        <w:rPr>
          <w:rFonts w:ascii="Calibri" w:hAnsi="Calibri" w:cs="Calibri"/>
        </w:rPr>
        <w:t>Estos preceptos legales, relativos a la fiscalización previa, han sido desarrolladas por el Decreto Foral 32/2018, de 27 de diciembre, por el que se regula el régimen jurídico del control interno en las entidades del Sector Público Local de Gipuzkoa; en particular, por el artículo 9, que regula la fiscalización previa de derechos e ingresos, y por el artículo 13, que regula el régimen de fiscalización e intervención limitada previa de requisitos básicos en materia de gastos.</w:t>
      </w:r>
    </w:p>
    <w:p w:rsidR="00C92CFE" w:rsidRPr="00A16CFD" w:rsidRDefault="00C92CFE" w:rsidP="007F7651">
      <w:pPr>
        <w:jc w:val="both"/>
        <w:rPr>
          <w:rFonts w:ascii="Calibri" w:hAnsi="Calibri" w:cs="Calibri"/>
        </w:rPr>
      </w:pPr>
    </w:p>
    <w:p w:rsidR="007F7651" w:rsidRPr="00A16CFD" w:rsidRDefault="007F7651" w:rsidP="007F7651">
      <w:pPr>
        <w:jc w:val="both"/>
        <w:rPr>
          <w:rFonts w:ascii="Calibri" w:hAnsi="Calibri" w:cs="Calibri"/>
        </w:rPr>
      </w:pPr>
      <w:r w:rsidRPr="00A16CFD">
        <w:rPr>
          <w:rFonts w:ascii="Calibri" w:hAnsi="Calibri" w:cs="Calibri"/>
        </w:rPr>
        <w:lastRenderedPageBreak/>
        <w:tab/>
        <w:t xml:space="preserve">Por otra parte, el artículo 70.3 de la Norma Foral 21/2003 establece </w:t>
      </w:r>
      <w:r w:rsidR="00EF7B47">
        <w:rPr>
          <w:rFonts w:ascii="Calibri" w:hAnsi="Calibri" w:cs="Calibri"/>
        </w:rPr>
        <w:t xml:space="preserve">los casos en que los reparos que el órgano interventor emita en el desarrollo de la función interventora sobre gastos y pagos tendrán carácter suspensivo, incluyendo, entre otros, los casos de omisión en el expediente de requisitos o trámites esenciales. </w:t>
      </w:r>
      <w:r w:rsidR="00BC2FEC">
        <w:rPr>
          <w:rFonts w:ascii="Calibri" w:hAnsi="Calibri" w:cs="Calibri"/>
        </w:rPr>
        <w:t xml:space="preserve">Por su parte, el </w:t>
      </w:r>
      <w:r w:rsidRPr="00A16CFD">
        <w:rPr>
          <w:rFonts w:ascii="Calibri" w:hAnsi="Calibri" w:cs="Calibri"/>
        </w:rPr>
        <w:t xml:space="preserve">Decreto Foral 32/2018, </w:t>
      </w:r>
      <w:r w:rsidR="00BC2FEC">
        <w:rPr>
          <w:rFonts w:ascii="Calibri" w:hAnsi="Calibri" w:cs="Calibri"/>
        </w:rPr>
        <w:t xml:space="preserve">en su artículo 12.3, </w:t>
      </w:r>
      <w:r w:rsidRPr="00A16CFD">
        <w:rPr>
          <w:rFonts w:ascii="Calibri" w:hAnsi="Calibri" w:cs="Calibri"/>
        </w:rPr>
        <w:t>enumera tres casos en los que se produce la citada omisión y</w:t>
      </w:r>
      <w:r>
        <w:rPr>
          <w:rFonts w:ascii="Calibri" w:hAnsi="Calibri" w:cs="Calibri"/>
        </w:rPr>
        <w:t xml:space="preserve"> </w:t>
      </w:r>
      <w:r w:rsidR="00BC2FEC">
        <w:rPr>
          <w:rFonts w:ascii="Calibri" w:hAnsi="Calibri" w:cs="Calibri"/>
        </w:rPr>
        <w:t xml:space="preserve">dispone, </w:t>
      </w:r>
      <w:r w:rsidRPr="00A16CFD">
        <w:rPr>
          <w:rFonts w:ascii="Calibri" w:hAnsi="Calibri" w:cs="Calibri"/>
        </w:rPr>
        <w:t xml:space="preserve">además, </w:t>
      </w:r>
      <w:r w:rsidR="00BC2FEC">
        <w:rPr>
          <w:rFonts w:ascii="Calibri" w:hAnsi="Calibri" w:cs="Calibri"/>
        </w:rPr>
        <w:t xml:space="preserve">que </w:t>
      </w:r>
      <w:r>
        <w:rPr>
          <w:rFonts w:ascii="Calibri" w:hAnsi="Calibri" w:cs="Calibri"/>
        </w:rPr>
        <w:t>e</w:t>
      </w:r>
      <w:r w:rsidRPr="00A16CFD">
        <w:rPr>
          <w:rFonts w:ascii="Calibri" w:hAnsi="Calibri" w:cs="Calibri"/>
        </w:rPr>
        <w:t xml:space="preserve">l Pleno de la corporación, previo informe del interventor, podrá aprobar otros requisitos o trámites adicionales que también tendrán la consideración de esenciales. </w:t>
      </w:r>
    </w:p>
    <w:p w:rsidR="007F7651" w:rsidRPr="00A16CFD" w:rsidRDefault="007F7651" w:rsidP="007F7651">
      <w:pPr>
        <w:jc w:val="both"/>
        <w:rPr>
          <w:rFonts w:ascii="Calibri" w:hAnsi="Calibri" w:cs="Calibri"/>
        </w:rPr>
      </w:pPr>
    </w:p>
    <w:p w:rsidR="007F7651" w:rsidRPr="00A16CFD" w:rsidRDefault="007F7651" w:rsidP="007F7651">
      <w:pPr>
        <w:jc w:val="both"/>
        <w:rPr>
          <w:rFonts w:ascii="Calibri" w:hAnsi="Calibri" w:cs="Calibri"/>
        </w:rPr>
      </w:pPr>
      <w:r w:rsidRPr="00A16CFD">
        <w:rPr>
          <w:rFonts w:ascii="Calibri" w:hAnsi="Calibri" w:cs="Calibri"/>
        </w:rPr>
        <w:tab/>
      </w:r>
      <w:r w:rsidR="00B76D9D">
        <w:rPr>
          <w:rFonts w:ascii="Calibri" w:hAnsi="Calibri" w:cs="Calibri"/>
        </w:rPr>
        <w:t xml:space="preserve">Del análisis conjunto de </w:t>
      </w:r>
      <w:r w:rsidRPr="00A16CFD">
        <w:rPr>
          <w:rFonts w:ascii="Calibri" w:hAnsi="Calibri" w:cs="Calibri"/>
        </w:rPr>
        <w:t xml:space="preserve">ambos textos resulta que, con el fin de configurar su modelo de control interno, esta entidad local deberá pronunciarse, a </w:t>
      </w:r>
      <w:r w:rsidRPr="00A16CFD">
        <w:rPr>
          <w:rFonts w:ascii="Calibri" w:hAnsi="Calibri" w:cs="Calibri"/>
          <w:color w:val="000000"/>
        </w:rPr>
        <w:t>través del Pleno</w:t>
      </w:r>
      <w:r w:rsidRPr="00A16CFD">
        <w:rPr>
          <w:rFonts w:ascii="Calibri" w:hAnsi="Calibri" w:cs="Calibri"/>
        </w:rPr>
        <w:t xml:space="preserve">, sobre las cuestiones que se relacionan a continuación, todo ello dentro del marco y con los límites establecidos en la Norma Foral 21/2003 y el propio decreto foral: </w:t>
      </w:r>
    </w:p>
    <w:p w:rsidR="007F7651" w:rsidRPr="00A16CFD" w:rsidRDefault="007F7651" w:rsidP="007F7651">
      <w:pPr>
        <w:jc w:val="both"/>
        <w:rPr>
          <w:rFonts w:ascii="Calibri" w:hAnsi="Calibri" w:cs="Calibri"/>
          <w:color w:val="FF0000"/>
        </w:rPr>
      </w:pPr>
    </w:p>
    <w:p w:rsidR="007F7651" w:rsidRPr="00A16CFD" w:rsidRDefault="007F7651" w:rsidP="007F7651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A16CFD">
        <w:rPr>
          <w:rFonts w:ascii="Calibri" w:hAnsi="Calibri" w:cs="Calibri"/>
        </w:rPr>
        <w:t xml:space="preserve">Adopción, en su caso, del régimen de </w:t>
      </w:r>
      <w:r w:rsidRPr="00A16CFD">
        <w:rPr>
          <w:rFonts w:ascii="Calibri" w:hAnsi="Calibri" w:cs="Calibri"/>
          <w:bCs/>
        </w:rPr>
        <w:t>fiscalización previa limitada de gastos.</w:t>
      </w:r>
    </w:p>
    <w:p w:rsidR="007F7651" w:rsidRPr="00A16CFD" w:rsidRDefault="007F7651" w:rsidP="007F7651">
      <w:pPr>
        <w:jc w:val="both"/>
        <w:rPr>
          <w:rFonts w:ascii="Calibri" w:hAnsi="Calibri" w:cs="Calibri"/>
        </w:rPr>
      </w:pPr>
    </w:p>
    <w:p w:rsidR="007F7651" w:rsidRPr="00A16CFD" w:rsidRDefault="007F7651" w:rsidP="007F7651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A16CFD">
        <w:rPr>
          <w:rFonts w:ascii="Calibri" w:hAnsi="Calibri" w:cs="Calibri"/>
        </w:rPr>
        <w:t xml:space="preserve">En caso afirmativo, determinación de </w:t>
      </w:r>
      <w:r w:rsidRPr="00A16CFD">
        <w:rPr>
          <w:rFonts w:ascii="Calibri" w:hAnsi="Calibri" w:cs="Calibri"/>
          <w:bCs/>
        </w:rPr>
        <w:t>otros requisitos o trámites adicionales</w:t>
      </w:r>
      <w:r w:rsidRPr="00A16CFD">
        <w:rPr>
          <w:rFonts w:ascii="Calibri" w:hAnsi="Calibri" w:cs="Calibri"/>
        </w:rPr>
        <w:t xml:space="preserve"> que, por su transcendencia, deban incluirse en el régimen de requisitos básicos.</w:t>
      </w:r>
    </w:p>
    <w:p w:rsidR="007F7651" w:rsidRPr="00A16CFD" w:rsidRDefault="007F7651" w:rsidP="007F7651">
      <w:pPr>
        <w:jc w:val="both"/>
        <w:rPr>
          <w:rFonts w:ascii="Calibri" w:hAnsi="Calibri" w:cs="Calibri"/>
        </w:rPr>
      </w:pPr>
    </w:p>
    <w:p w:rsidR="007F7651" w:rsidRPr="00A16CFD" w:rsidRDefault="007F7651" w:rsidP="007F7651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A16CFD">
        <w:rPr>
          <w:rFonts w:ascii="Calibri" w:hAnsi="Calibri" w:cs="Calibri"/>
        </w:rPr>
        <w:t xml:space="preserve">Determinación, en su caso, de </w:t>
      </w:r>
      <w:r w:rsidRPr="00A16CFD">
        <w:rPr>
          <w:rFonts w:ascii="Calibri" w:hAnsi="Calibri" w:cs="Calibri"/>
          <w:bCs/>
        </w:rPr>
        <w:t>otros requisitos o trámites adicionales</w:t>
      </w:r>
      <w:r w:rsidRPr="00A16CFD">
        <w:rPr>
          <w:rFonts w:ascii="Calibri" w:hAnsi="Calibri" w:cs="Calibri"/>
        </w:rPr>
        <w:t xml:space="preserve"> que también tendrán la consideración de esenciales a los efectos de </w:t>
      </w:r>
      <w:r w:rsidRPr="00A16CFD">
        <w:rPr>
          <w:rFonts w:ascii="Calibri" w:hAnsi="Calibri" w:cs="Calibri"/>
          <w:bCs/>
        </w:rPr>
        <w:t>reparos suspensivos.</w:t>
      </w:r>
    </w:p>
    <w:p w:rsidR="007F7651" w:rsidRPr="00A16CFD" w:rsidRDefault="007F7651" w:rsidP="007F7651">
      <w:pPr>
        <w:jc w:val="both"/>
        <w:rPr>
          <w:rFonts w:ascii="Calibri" w:hAnsi="Calibri" w:cs="Calibri"/>
        </w:rPr>
      </w:pPr>
    </w:p>
    <w:p w:rsidR="007F7651" w:rsidRPr="00A16CFD" w:rsidRDefault="007F7651" w:rsidP="007F7651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A16CFD">
        <w:rPr>
          <w:rFonts w:ascii="Calibri" w:hAnsi="Calibri" w:cs="Calibri"/>
          <w:bCs/>
        </w:rPr>
        <w:t>Sustitución, en su caso, de la fiscalización previa de los derechos e ingresos</w:t>
      </w:r>
      <w:r w:rsidRPr="00A16CFD">
        <w:rPr>
          <w:rFonts w:ascii="Calibri" w:hAnsi="Calibri" w:cs="Calibri"/>
        </w:rPr>
        <w:t xml:space="preserve"> de la tesorería de la entidad local y de la de sus organismos autónomos por el control inherente a la toma de razón en contabilidad y el control financiero posterior. Si la sustitución fuera parcial, se deberán identificar aquellos conceptos de ingreso para los que no resulta de aplicación.</w:t>
      </w:r>
    </w:p>
    <w:p w:rsidR="007F7651" w:rsidRPr="00A16CFD" w:rsidRDefault="007F7651" w:rsidP="007F7651">
      <w:pPr>
        <w:jc w:val="both"/>
        <w:rPr>
          <w:rFonts w:ascii="Calibri" w:hAnsi="Calibri" w:cs="Calibri"/>
        </w:rPr>
      </w:pPr>
    </w:p>
    <w:p w:rsidR="007F7651" w:rsidRPr="00A16CFD" w:rsidRDefault="007F7651" w:rsidP="007F7651">
      <w:pPr>
        <w:ind w:left="720"/>
        <w:jc w:val="both"/>
        <w:rPr>
          <w:rFonts w:ascii="Calibri" w:hAnsi="Calibri" w:cs="Calibri"/>
          <w:bCs/>
        </w:rPr>
      </w:pPr>
      <w:r w:rsidRPr="00A16CFD">
        <w:rPr>
          <w:rFonts w:ascii="Calibri" w:hAnsi="Calibri" w:cs="Calibri"/>
          <w:bCs/>
        </w:rPr>
        <w:t xml:space="preserve">La sustitución no alcanzará, en ningún caso, a la fiscalización de los actos de ordenación y pago material derivados de devoluciones de ingresos indebidos. </w:t>
      </w:r>
    </w:p>
    <w:p w:rsidR="007F7651" w:rsidRPr="00A16CFD" w:rsidRDefault="007F7651" w:rsidP="007F7651">
      <w:pPr>
        <w:jc w:val="both"/>
        <w:rPr>
          <w:rFonts w:ascii="Calibri" w:hAnsi="Calibri" w:cs="Calibri"/>
        </w:rPr>
      </w:pPr>
    </w:p>
    <w:p w:rsidR="007F7651" w:rsidRPr="00A16CFD" w:rsidRDefault="007F7651" w:rsidP="007F7651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A16CFD">
        <w:rPr>
          <w:rFonts w:ascii="Calibri" w:hAnsi="Calibri" w:cs="Calibri"/>
          <w:bCs/>
        </w:rPr>
        <w:t>Adaptación de la</w:t>
      </w:r>
      <w:r w:rsidRPr="00A16CFD">
        <w:rPr>
          <w:rFonts w:ascii="Calibri" w:hAnsi="Calibri" w:cs="Calibri"/>
        </w:rPr>
        <w:t xml:space="preserve"> </w:t>
      </w:r>
      <w:r w:rsidRPr="00A16CFD">
        <w:rPr>
          <w:rFonts w:ascii="Calibri" w:hAnsi="Calibri" w:cs="Calibri"/>
          <w:bCs/>
        </w:rPr>
        <w:t>organización y el funcionamiento</w:t>
      </w:r>
      <w:r w:rsidRPr="00A16CFD">
        <w:rPr>
          <w:rFonts w:ascii="Calibri" w:hAnsi="Calibri" w:cs="Calibri"/>
        </w:rPr>
        <w:t xml:space="preserve"> de la entidad local (y de las entidades integrantes de su perímetro), así como del propio órgano de control interno, a las exigencias del nuevo modelo de control, sin perjuicio de las adaptaciones que hayan de ser establecidas mediante decreto de la presidencia o instrucción de la </w:t>
      </w:r>
      <w:r w:rsidRPr="00A16CFD">
        <w:rPr>
          <w:rFonts w:ascii="Calibri" w:hAnsi="Calibri" w:cs="Calibri"/>
          <w:i/>
          <w:color w:val="C45911"/>
        </w:rPr>
        <w:t>[Intervención o Secretaría-Intervención].</w:t>
      </w:r>
    </w:p>
    <w:p w:rsidR="007F7651" w:rsidRPr="00A16CFD" w:rsidRDefault="007F7651" w:rsidP="007F7651">
      <w:pPr>
        <w:jc w:val="both"/>
        <w:rPr>
          <w:rFonts w:ascii="Calibri" w:hAnsi="Calibri" w:cs="Calibri"/>
        </w:rPr>
      </w:pPr>
    </w:p>
    <w:p w:rsidR="00EA1CA1" w:rsidRDefault="00EA1CA1" w:rsidP="00EA1CA1">
      <w:pPr>
        <w:ind w:left="720"/>
        <w:jc w:val="both"/>
        <w:rPr>
          <w:rFonts w:ascii="Calibri" w:hAnsi="Calibri" w:cs="Calibri"/>
        </w:rPr>
      </w:pPr>
    </w:p>
    <w:p w:rsidR="007F7651" w:rsidRDefault="00EA1CA1" w:rsidP="007F765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7F7651" w:rsidRPr="00A16CFD">
        <w:rPr>
          <w:rFonts w:ascii="Calibri" w:hAnsi="Calibri" w:cs="Calibri"/>
        </w:rPr>
        <w:t xml:space="preserve">De acuerdo con lo anterior, el órgano de control interno </w:t>
      </w:r>
      <w:r w:rsidR="007F7651" w:rsidRPr="00A16CFD">
        <w:rPr>
          <w:rFonts w:ascii="Calibri" w:hAnsi="Calibri" w:cs="Calibri"/>
          <w:i/>
        </w:rPr>
        <w:t>(</w:t>
      </w:r>
      <w:r w:rsidR="007F7651" w:rsidRPr="00A16CFD">
        <w:rPr>
          <w:rFonts w:ascii="Calibri" w:hAnsi="Calibri" w:cs="Calibri"/>
          <w:i/>
          <w:color w:val="C45911"/>
        </w:rPr>
        <w:t>[</w:t>
      </w:r>
      <w:r w:rsidR="007F7651" w:rsidRPr="00A16CFD">
        <w:rPr>
          <w:rStyle w:val="Lodia"/>
          <w:rFonts w:ascii="Calibri" w:hAnsi="Calibri" w:cs="Calibri"/>
          <w:b w:val="0"/>
          <w:i/>
          <w:color w:val="C45911"/>
        </w:rPr>
        <w:t>Intervención</w:t>
      </w:r>
      <w:r w:rsidR="007F7651" w:rsidRPr="00A16CFD">
        <w:rPr>
          <w:rFonts w:ascii="Calibri" w:hAnsi="Calibri" w:cs="Calibri"/>
          <w:b/>
          <w:i/>
          <w:color w:val="C45911"/>
        </w:rPr>
        <w:t xml:space="preserve"> / </w:t>
      </w:r>
      <w:r w:rsidR="007F7651" w:rsidRPr="00A16CFD">
        <w:rPr>
          <w:rFonts w:ascii="Calibri" w:hAnsi="Calibri" w:cs="Calibri"/>
          <w:i/>
          <w:color w:val="C45911"/>
        </w:rPr>
        <w:t>Secretaria-</w:t>
      </w:r>
      <w:r w:rsidR="007F7651" w:rsidRPr="00A16CFD">
        <w:rPr>
          <w:rStyle w:val="Lodia"/>
          <w:rFonts w:ascii="Calibri" w:hAnsi="Calibri" w:cs="Calibri"/>
          <w:b w:val="0"/>
          <w:i/>
          <w:color w:val="C45911"/>
        </w:rPr>
        <w:t>Intervención</w:t>
      </w:r>
      <w:r w:rsidR="007F7651" w:rsidRPr="00A16CFD">
        <w:rPr>
          <w:rStyle w:val="Lodia"/>
          <w:rFonts w:ascii="Calibri" w:hAnsi="Calibri" w:cs="Calibri"/>
          <w:i/>
          <w:color w:val="C45911"/>
        </w:rPr>
        <w:t>]</w:t>
      </w:r>
      <w:r w:rsidR="007F7651" w:rsidRPr="00A16CFD">
        <w:rPr>
          <w:rFonts w:ascii="Calibri" w:hAnsi="Calibri" w:cs="Calibri"/>
          <w:color w:val="808080"/>
        </w:rPr>
        <w:t>)</w:t>
      </w:r>
      <w:r w:rsidR="007F7651" w:rsidRPr="00A16CFD">
        <w:rPr>
          <w:rFonts w:ascii="Calibri" w:hAnsi="Calibri" w:cs="Calibri"/>
        </w:rPr>
        <w:t xml:space="preserve"> </w:t>
      </w:r>
      <w:r w:rsidR="00C92CFE">
        <w:rPr>
          <w:rFonts w:ascii="Calibri" w:hAnsi="Calibri" w:cs="Calibri"/>
        </w:rPr>
        <w:t>ha emitido</w:t>
      </w:r>
      <w:r w:rsidR="007F7651" w:rsidRPr="00A16CFD">
        <w:rPr>
          <w:rFonts w:ascii="Calibri" w:hAnsi="Calibri" w:cs="Calibri"/>
        </w:rPr>
        <w:t xml:space="preserve"> </w:t>
      </w:r>
      <w:r w:rsidR="007F7651" w:rsidRPr="00A16CFD">
        <w:rPr>
          <w:rFonts w:ascii="Calibri" w:hAnsi="Calibri" w:cs="Calibri"/>
          <w:bCs/>
        </w:rPr>
        <w:t>informe</w:t>
      </w:r>
      <w:r w:rsidR="007F7651" w:rsidRPr="00A16CFD">
        <w:rPr>
          <w:rFonts w:ascii="Calibri" w:hAnsi="Calibri" w:cs="Calibri"/>
        </w:rPr>
        <w:t xml:space="preserve"> con propuesta de acuerdo plenario</w:t>
      </w:r>
      <w:r w:rsidR="00352659">
        <w:rPr>
          <w:rFonts w:ascii="Calibri" w:hAnsi="Calibri" w:cs="Calibri"/>
        </w:rPr>
        <w:t>,</w:t>
      </w:r>
      <w:r w:rsidR="007F7651" w:rsidRPr="00A16CFD">
        <w:rPr>
          <w:rFonts w:ascii="Calibri" w:hAnsi="Calibri" w:cs="Calibri"/>
        </w:rPr>
        <w:t xml:space="preserve"> en orden a la aprobación del modelo de control interno en esta entidad local.</w:t>
      </w:r>
    </w:p>
    <w:p w:rsidR="00196F67" w:rsidRDefault="00196F67" w:rsidP="007F7651">
      <w:pPr>
        <w:jc w:val="both"/>
        <w:rPr>
          <w:rFonts w:ascii="Calibri" w:hAnsi="Calibri" w:cs="Calibri"/>
        </w:rPr>
      </w:pPr>
    </w:p>
    <w:p w:rsidR="00196F67" w:rsidRDefault="00196F67" w:rsidP="007F7651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  <w:t>Por todo ello, visto el informe emitido por el órgano interventor</w:t>
      </w:r>
      <w:r w:rsidR="00EA1CA1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en los términos previstos en el Decreto Foral 32/2018, y las atribuciones conferidas </w:t>
      </w:r>
      <w:r w:rsidRPr="00196F67">
        <w:rPr>
          <w:rFonts w:ascii="Calibri" w:hAnsi="Calibri" w:cs="Calibri"/>
          <w:i/>
          <w:color w:val="C45911" w:themeColor="accent2" w:themeShade="BF"/>
        </w:rPr>
        <w:t>[al Pleno / a la Junta General]</w:t>
      </w:r>
      <w:r>
        <w:rPr>
          <w:rFonts w:ascii="Calibri" w:hAnsi="Calibri" w:cs="Calibri"/>
        </w:rPr>
        <w:t xml:space="preserve"> de esta </w:t>
      </w:r>
      <w:r w:rsidR="00C17F0F" w:rsidRPr="00C17F0F">
        <w:rPr>
          <w:rFonts w:ascii="Calibri" w:hAnsi="Calibri" w:cs="Calibri"/>
          <w:i/>
          <w:color w:val="C45911" w:themeColor="accent2" w:themeShade="BF"/>
        </w:rPr>
        <w:t>[c</w:t>
      </w:r>
      <w:r w:rsidRPr="00C17F0F">
        <w:rPr>
          <w:rFonts w:ascii="Calibri" w:hAnsi="Calibri" w:cs="Calibri"/>
          <w:i/>
          <w:color w:val="C45911" w:themeColor="accent2" w:themeShade="BF"/>
        </w:rPr>
        <w:t>orporación</w:t>
      </w:r>
      <w:r w:rsidR="00C17F0F" w:rsidRPr="00C17F0F">
        <w:rPr>
          <w:rFonts w:ascii="Calibri" w:hAnsi="Calibri" w:cs="Calibri"/>
          <w:i/>
          <w:color w:val="C45911" w:themeColor="accent2" w:themeShade="BF"/>
        </w:rPr>
        <w:t xml:space="preserve"> / mancomunidad]</w:t>
      </w:r>
      <w:r w:rsidR="00C17F0F">
        <w:rPr>
          <w:rFonts w:ascii="Calibri" w:hAnsi="Calibri" w:cs="Calibri"/>
        </w:rPr>
        <w:t xml:space="preserve">, se propone, previo dictamen de la Comisión Especial de Cuentas, la adopción del siguiente </w:t>
      </w:r>
      <w:r w:rsidR="00C17F0F" w:rsidRPr="00C17F0F">
        <w:rPr>
          <w:rFonts w:ascii="Calibri" w:hAnsi="Calibri" w:cs="Calibri"/>
          <w:b/>
        </w:rPr>
        <w:t>ACUERDO:</w:t>
      </w:r>
    </w:p>
    <w:p w:rsidR="00264830" w:rsidRPr="00C17F0F" w:rsidRDefault="00264830" w:rsidP="007F7651">
      <w:pPr>
        <w:jc w:val="both"/>
        <w:rPr>
          <w:rFonts w:ascii="Calibri" w:hAnsi="Calibri" w:cs="Calibri"/>
        </w:rPr>
      </w:pPr>
    </w:p>
    <w:p w:rsidR="00C17F0F" w:rsidRDefault="00C17F0F" w:rsidP="00C17F0F">
      <w:pPr>
        <w:jc w:val="both"/>
        <w:rPr>
          <w:rFonts w:ascii="Calibri" w:hAnsi="Calibri" w:cs="Calibri"/>
          <w:color w:val="111111"/>
        </w:rPr>
      </w:pPr>
      <w:r>
        <w:rPr>
          <w:rStyle w:val="su"/>
          <w:rFonts w:ascii="Calibri" w:hAnsi="Calibri" w:cs="Calibri"/>
          <w:b/>
          <w:bCs/>
          <w:color w:val="111111"/>
        </w:rPr>
        <w:lastRenderedPageBreak/>
        <w:tab/>
      </w:r>
      <w:r w:rsidRPr="00ED0054">
        <w:rPr>
          <w:rStyle w:val="su"/>
          <w:rFonts w:ascii="Calibri" w:hAnsi="Calibri" w:cs="Calibri"/>
          <w:b/>
          <w:bCs/>
          <w:color w:val="111111"/>
        </w:rPr>
        <w:t>PRIMERO</w:t>
      </w:r>
      <w:r w:rsidRPr="00ED0054">
        <w:rPr>
          <w:rFonts w:ascii="Calibri" w:hAnsi="Calibri" w:cs="Calibri"/>
          <w:b/>
          <w:bCs/>
          <w:color w:val="111111"/>
        </w:rPr>
        <w:t>.</w:t>
      </w:r>
      <w:r w:rsidRPr="00ED0054">
        <w:rPr>
          <w:rFonts w:ascii="Calibri" w:hAnsi="Calibri" w:cs="Calibri"/>
          <w:color w:val="111111"/>
        </w:rPr>
        <w:t xml:space="preserve"> - </w:t>
      </w:r>
      <w:r w:rsidRPr="00CF58C5">
        <w:rPr>
          <w:rFonts w:ascii="Calibri" w:hAnsi="Calibri" w:cs="Calibri"/>
          <w:color w:val="111111"/>
        </w:rPr>
        <w:t xml:space="preserve">Adoptar, como modelo de control interno en materia de gastos, el </w:t>
      </w:r>
      <w:r w:rsidRPr="00CF58C5">
        <w:rPr>
          <w:rFonts w:ascii="Calibri" w:hAnsi="Calibri" w:cs="Calibri"/>
          <w:bCs/>
          <w:color w:val="111111"/>
        </w:rPr>
        <w:t>régimen de fiscalización e intervención limitada previa de requisitos básicos</w:t>
      </w:r>
      <w:r>
        <w:rPr>
          <w:rFonts w:ascii="Calibri" w:hAnsi="Calibri" w:cs="Calibri"/>
          <w:color w:val="111111"/>
        </w:rPr>
        <w:t>, según el detalle que se recoge</w:t>
      </w:r>
      <w:r w:rsidRPr="00CF58C5">
        <w:rPr>
          <w:rFonts w:ascii="Calibri" w:hAnsi="Calibri" w:cs="Calibri"/>
          <w:color w:val="111111"/>
        </w:rPr>
        <w:t xml:space="preserve"> en el </w:t>
      </w:r>
      <w:r w:rsidRPr="00CF58C5">
        <w:rPr>
          <w:rFonts w:ascii="Calibri" w:hAnsi="Calibri" w:cs="Calibri"/>
          <w:bCs/>
          <w:color w:val="111111"/>
        </w:rPr>
        <w:t>ANEXO I</w:t>
      </w:r>
      <w:r w:rsidRPr="00CF58C5">
        <w:rPr>
          <w:rFonts w:ascii="Calibri" w:hAnsi="Calibri" w:cs="Calibri"/>
          <w:color w:val="111111"/>
        </w:rPr>
        <w:t>, al</w:t>
      </w:r>
      <w:r w:rsidRPr="00ED0054">
        <w:rPr>
          <w:rFonts w:ascii="Calibri" w:hAnsi="Calibri" w:cs="Calibri"/>
          <w:color w:val="111111"/>
        </w:rPr>
        <w:t xml:space="preserve"> amparo de los artículos 13 y 19 del Decreto Foral 32/2018, de 27 de diciembre, por el que se regula el régimen jurídico de control interno en las entidades del Sector Público Local de Gipuzkoa.</w:t>
      </w:r>
    </w:p>
    <w:p w:rsidR="00C17F0F" w:rsidRDefault="00C17F0F" w:rsidP="00C17F0F">
      <w:pPr>
        <w:jc w:val="both"/>
        <w:rPr>
          <w:rFonts w:ascii="Calibri" w:hAnsi="Calibri" w:cs="Calibri"/>
          <w:color w:val="111111"/>
        </w:rPr>
      </w:pPr>
    </w:p>
    <w:p w:rsidR="00C17F0F" w:rsidRDefault="00C17F0F" w:rsidP="00C17F0F">
      <w:pPr>
        <w:jc w:val="both"/>
        <w:rPr>
          <w:rFonts w:ascii="Calibri" w:hAnsi="Calibri" w:cs="Calibri"/>
          <w:color w:val="111111"/>
        </w:rPr>
      </w:pPr>
      <w:r>
        <w:rPr>
          <w:rStyle w:val="su"/>
          <w:rFonts w:ascii="Calibri" w:hAnsi="Calibri" w:cs="Calibri"/>
          <w:b/>
          <w:bCs/>
          <w:color w:val="111111"/>
        </w:rPr>
        <w:tab/>
      </w:r>
      <w:r w:rsidRPr="00ED0054">
        <w:rPr>
          <w:rStyle w:val="su"/>
          <w:rFonts w:ascii="Calibri" w:hAnsi="Calibri" w:cs="Calibri"/>
          <w:b/>
          <w:bCs/>
          <w:color w:val="111111"/>
        </w:rPr>
        <w:t>SEGUNDO</w:t>
      </w:r>
      <w:r w:rsidRPr="00ED0054">
        <w:rPr>
          <w:rFonts w:ascii="Calibri" w:hAnsi="Calibri" w:cs="Calibri"/>
          <w:b/>
          <w:bCs/>
          <w:color w:val="111111"/>
        </w:rPr>
        <w:t>.</w:t>
      </w:r>
      <w:r w:rsidRPr="00ED0054">
        <w:rPr>
          <w:rFonts w:ascii="Calibri" w:hAnsi="Calibri" w:cs="Calibri"/>
          <w:color w:val="111111"/>
        </w:rPr>
        <w:t xml:space="preserve"> - Determinar </w:t>
      </w:r>
      <w:r w:rsidRPr="00CF58C5">
        <w:rPr>
          <w:rFonts w:ascii="Calibri" w:hAnsi="Calibri" w:cs="Calibri"/>
          <w:color w:val="111111"/>
        </w:rPr>
        <w:t xml:space="preserve">cómo </w:t>
      </w:r>
      <w:r w:rsidRPr="00CF58C5">
        <w:rPr>
          <w:rFonts w:ascii="Calibri" w:hAnsi="Calibri" w:cs="Calibri"/>
          <w:bCs/>
          <w:color w:val="111111"/>
        </w:rPr>
        <w:t>requisitos o trámites adicionales</w:t>
      </w:r>
      <w:r w:rsidRPr="00CF58C5">
        <w:rPr>
          <w:rFonts w:ascii="Calibri" w:hAnsi="Calibri" w:cs="Calibri"/>
          <w:color w:val="111111"/>
        </w:rPr>
        <w:t xml:space="preserve"> a verificar en el régimen de fiscalización limitada previa de requisitos básicos los que se identifican</w:t>
      </w:r>
      <w:r w:rsidRPr="00ED0054">
        <w:rPr>
          <w:rFonts w:ascii="Calibri" w:hAnsi="Calibri" w:cs="Calibri"/>
          <w:color w:val="111111"/>
        </w:rPr>
        <w:t xml:space="preserve"> como tales en el </w:t>
      </w:r>
      <w:r w:rsidRPr="00DD0763">
        <w:rPr>
          <w:rFonts w:ascii="Calibri" w:hAnsi="Calibri" w:cs="Calibri"/>
          <w:bCs/>
          <w:color w:val="111111"/>
        </w:rPr>
        <w:t>ANEXO I</w:t>
      </w:r>
      <w:r w:rsidR="00264830">
        <w:rPr>
          <w:rFonts w:ascii="Calibri" w:hAnsi="Calibri" w:cs="Calibri"/>
          <w:bCs/>
          <w:color w:val="111111"/>
        </w:rPr>
        <w:t>.</w:t>
      </w:r>
    </w:p>
    <w:p w:rsidR="00C17F0F" w:rsidRPr="00ED0054" w:rsidRDefault="00C17F0F" w:rsidP="00C17F0F">
      <w:pPr>
        <w:jc w:val="both"/>
        <w:rPr>
          <w:rFonts w:ascii="Calibri" w:hAnsi="Calibri" w:cs="Calibri"/>
          <w:color w:val="111111"/>
        </w:rPr>
      </w:pPr>
    </w:p>
    <w:p w:rsidR="00C17F0F" w:rsidRDefault="00C17F0F" w:rsidP="00C17F0F">
      <w:pPr>
        <w:jc w:val="both"/>
        <w:rPr>
          <w:rFonts w:ascii="Calibri" w:hAnsi="Calibri" w:cs="Calibri"/>
          <w:color w:val="111111"/>
        </w:rPr>
      </w:pPr>
      <w:r>
        <w:rPr>
          <w:rStyle w:val="su"/>
          <w:rFonts w:ascii="Calibri" w:hAnsi="Calibri" w:cs="Calibri"/>
          <w:b/>
          <w:bCs/>
          <w:color w:val="111111"/>
        </w:rPr>
        <w:tab/>
      </w:r>
      <w:r w:rsidRPr="00ED0054">
        <w:rPr>
          <w:rStyle w:val="su"/>
          <w:rFonts w:ascii="Calibri" w:hAnsi="Calibri" w:cs="Calibri"/>
          <w:b/>
          <w:bCs/>
          <w:color w:val="111111"/>
        </w:rPr>
        <w:t>TERCERO</w:t>
      </w:r>
      <w:r w:rsidRPr="00ED0054">
        <w:rPr>
          <w:rFonts w:ascii="Calibri" w:hAnsi="Calibri" w:cs="Calibri"/>
          <w:b/>
          <w:bCs/>
          <w:color w:val="111111"/>
        </w:rPr>
        <w:t>.</w:t>
      </w:r>
      <w:r w:rsidRPr="00ED0054">
        <w:rPr>
          <w:rFonts w:ascii="Calibri" w:hAnsi="Calibri" w:cs="Calibri"/>
          <w:color w:val="111111"/>
        </w:rPr>
        <w:t xml:space="preserve"> - Determinar </w:t>
      </w:r>
      <w:r w:rsidRPr="00CF58C5">
        <w:rPr>
          <w:rFonts w:ascii="Calibri" w:hAnsi="Calibri" w:cs="Calibri"/>
          <w:bCs/>
          <w:color w:val="111111"/>
        </w:rPr>
        <w:t>otros requisitos o trámites adicionales</w:t>
      </w:r>
      <w:r w:rsidRPr="00CF58C5">
        <w:rPr>
          <w:rFonts w:ascii="Calibri" w:hAnsi="Calibri" w:cs="Calibri"/>
          <w:color w:val="111111"/>
        </w:rPr>
        <w:t xml:space="preserve"> que también tendrán la consideración de esenciales a los efectos de </w:t>
      </w:r>
      <w:r w:rsidRPr="00CF58C5">
        <w:rPr>
          <w:rFonts w:ascii="Calibri" w:hAnsi="Calibri" w:cs="Calibri"/>
          <w:bCs/>
          <w:color w:val="111111"/>
        </w:rPr>
        <w:t>reparos suspensivos,</w:t>
      </w:r>
      <w:r w:rsidRPr="00CF58C5">
        <w:rPr>
          <w:rFonts w:ascii="Calibri" w:hAnsi="Calibri" w:cs="Calibri"/>
          <w:color w:val="111111"/>
        </w:rPr>
        <w:t xml:space="preserve"> según consta igualmente en el citado </w:t>
      </w:r>
      <w:r w:rsidRPr="00CF58C5">
        <w:rPr>
          <w:rFonts w:ascii="Calibri" w:hAnsi="Calibri" w:cs="Calibri"/>
          <w:bCs/>
          <w:color w:val="111111"/>
        </w:rPr>
        <w:t>ANEXO I</w:t>
      </w:r>
      <w:r w:rsidR="00264830">
        <w:rPr>
          <w:rFonts w:ascii="Calibri" w:hAnsi="Calibri" w:cs="Calibri"/>
          <w:bCs/>
          <w:color w:val="111111"/>
        </w:rPr>
        <w:t>.</w:t>
      </w:r>
    </w:p>
    <w:p w:rsidR="00C17F0F" w:rsidRPr="00ED0054" w:rsidRDefault="00C17F0F" w:rsidP="00C17F0F">
      <w:pPr>
        <w:jc w:val="both"/>
        <w:rPr>
          <w:rFonts w:ascii="Calibri" w:hAnsi="Calibri" w:cs="Calibri"/>
          <w:color w:val="111111"/>
        </w:rPr>
      </w:pPr>
    </w:p>
    <w:p w:rsidR="00C17F0F" w:rsidRDefault="00C17F0F" w:rsidP="00C17F0F">
      <w:pPr>
        <w:jc w:val="both"/>
        <w:rPr>
          <w:rFonts w:ascii="Calibri" w:hAnsi="Calibri" w:cs="Calibri"/>
          <w:i/>
          <w:color w:val="C45911"/>
        </w:rPr>
      </w:pPr>
      <w:r>
        <w:rPr>
          <w:rStyle w:val="su"/>
          <w:rFonts w:ascii="Calibri" w:hAnsi="Calibri" w:cs="Calibri"/>
          <w:b/>
          <w:bCs/>
          <w:color w:val="111111"/>
        </w:rPr>
        <w:tab/>
      </w:r>
      <w:r w:rsidRPr="00ED0054">
        <w:rPr>
          <w:rStyle w:val="su"/>
          <w:rFonts w:ascii="Calibri" w:hAnsi="Calibri" w:cs="Calibri"/>
          <w:b/>
          <w:bCs/>
          <w:color w:val="111111"/>
        </w:rPr>
        <w:t>CUARTO</w:t>
      </w:r>
      <w:r w:rsidRPr="00ED0054">
        <w:rPr>
          <w:rFonts w:ascii="Calibri" w:hAnsi="Calibri" w:cs="Calibri"/>
          <w:b/>
          <w:bCs/>
          <w:color w:val="111111"/>
        </w:rPr>
        <w:t>.</w:t>
      </w:r>
      <w:r w:rsidRPr="00ED0054">
        <w:rPr>
          <w:rFonts w:ascii="Calibri" w:hAnsi="Calibri" w:cs="Calibri"/>
          <w:color w:val="111111"/>
        </w:rPr>
        <w:t xml:space="preserve"> - </w:t>
      </w:r>
      <w:r w:rsidRPr="00CF58C5">
        <w:rPr>
          <w:rFonts w:ascii="Calibri" w:hAnsi="Calibri" w:cs="Calibri"/>
          <w:bCs/>
          <w:color w:val="111111"/>
        </w:rPr>
        <w:t>Sustituir la fiscalización previa de los derechos e ingresos</w:t>
      </w:r>
      <w:r w:rsidRPr="00CF58C5">
        <w:rPr>
          <w:rFonts w:ascii="Calibri" w:hAnsi="Calibri" w:cs="Calibri"/>
          <w:color w:val="111111"/>
        </w:rPr>
        <w:t xml:space="preserve"> de la Tesorería</w:t>
      </w:r>
      <w:r w:rsidRPr="00ED0054">
        <w:rPr>
          <w:rFonts w:ascii="Calibri" w:hAnsi="Calibri" w:cs="Calibri"/>
          <w:color w:val="111111"/>
        </w:rPr>
        <w:t xml:space="preserve"> de la entidad local </w:t>
      </w:r>
      <w:r w:rsidRPr="00ED0054">
        <w:rPr>
          <w:rFonts w:ascii="Calibri" w:hAnsi="Calibri" w:cs="Calibri"/>
          <w:i/>
          <w:color w:val="C45911"/>
        </w:rPr>
        <w:t>(y la de sus organismos autónomos, si los tuviere)</w:t>
      </w:r>
      <w:r w:rsidRPr="00ED0054">
        <w:rPr>
          <w:rFonts w:ascii="Calibri" w:hAnsi="Calibri" w:cs="Calibri"/>
          <w:i/>
        </w:rPr>
        <w:t>,</w:t>
      </w:r>
      <w:r w:rsidRPr="00ED0054">
        <w:rPr>
          <w:rFonts w:ascii="Calibri" w:hAnsi="Calibri" w:cs="Calibri"/>
          <w:color w:val="111111"/>
        </w:rPr>
        <w:t xml:space="preserve"> por el control inherente a la toma de razón en contabilidad y el control financiero posterior. </w:t>
      </w:r>
      <w:r>
        <w:rPr>
          <w:rFonts w:ascii="Calibri" w:hAnsi="Calibri" w:cs="Calibri"/>
          <w:i/>
          <w:color w:val="C45911"/>
        </w:rPr>
        <w:t>(S</w:t>
      </w:r>
      <w:r w:rsidRPr="00ED0054">
        <w:rPr>
          <w:rFonts w:ascii="Calibri" w:hAnsi="Calibri" w:cs="Calibri"/>
          <w:i/>
          <w:color w:val="C45911"/>
        </w:rPr>
        <w:t>i la sustitución no afecta a todos los ingresos, identificar a los que es de aplicación).</w:t>
      </w:r>
    </w:p>
    <w:p w:rsidR="00C17F0F" w:rsidRPr="00ED0054" w:rsidRDefault="00C17F0F" w:rsidP="00C17F0F">
      <w:pPr>
        <w:jc w:val="both"/>
        <w:rPr>
          <w:rFonts w:ascii="Calibri" w:hAnsi="Calibri" w:cs="Calibri"/>
          <w:color w:val="C45911"/>
        </w:rPr>
      </w:pPr>
    </w:p>
    <w:p w:rsidR="00C17F0F" w:rsidRDefault="00C17F0F" w:rsidP="00C17F0F">
      <w:pPr>
        <w:jc w:val="both"/>
        <w:rPr>
          <w:rFonts w:ascii="Calibri" w:hAnsi="Calibri" w:cs="Calibri"/>
        </w:rPr>
      </w:pPr>
      <w:r w:rsidRPr="00ED0054">
        <w:rPr>
          <w:rFonts w:ascii="Calibri" w:hAnsi="Calibri" w:cs="Calibri"/>
        </w:rPr>
        <w:t xml:space="preserve">La sustitución a la que hace referencia este punto no alcanzará a la fiscalización de los actos de ordenación y pago material derivados de las devoluciones de ingresos indebidos. </w:t>
      </w:r>
    </w:p>
    <w:p w:rsidR="00C17F0F" w:rsidRPr="00ED0054" w:rsidRDefault="00C17F0F" w:rsidP="00C17F0F">
      <w:pPr>
        <w:jc w:val="both"/>
        <w:rPr>
          <w:rFonts w:ascii="Calibri" w:hAnsi="Calibri" w:cs="Calibri"/>
        </w:rPr>
      </w:pPr>
    </w:p>
    <w:p w:rsidR="00C17F0F" w:rsidRPr="00ED0054" w:rsidRDefault="00C17F0F" w:rsidP="00C17F0F">
      <w:pPr>
        <w:jc w:val="both"/>
        <w:rPr>
          <w:rFonts w:ascii="Calibri" w:hAnsi="Calibri" w:cs="Calibri"/>
          <w:i/>
          <w:color w:val="C45911"/>
        </w:rPr>
      </w:pPr>
      <w:r>
        <w:rPr>
          <w:rStyle w:val="su"/>
          <w:rFonts w:ascii="Calibri" w:hAnsi="Calibri" w:cs="Calibri"/>
          <w:b/>
          <w:bCs/>
          <w:i/>
          <w:color w:val="C45911"/>
        </w:rPr>
        <w:tab/>
      </w:r>
      <w:r w:rsidRPr="00ED0054">
        <w:rPr>
          <w:rStyle w:val="su"/>
          <w:rFonts w:ascii="Calibri" w:hAnsi="Calibri" w:cs="Calibri"/>
          <w:b/>
          <w:bCs/>
          <w:i/>
          <w:color w:val="C45911"/>
        </w:rPr>
        <w:t>QUINTO</w:t>
      </w:r>
      <w:r w:rsidRPr="00ED0054">
        <w:rPr>
          <w:rFonts w:ascii="Calibri" w:hAnsi="Calibri" w:cs="Calibri"/>
          <w:b/>
          <w:bCs/>
          <w:i/>
          <w:color w:val="C45911"/>
        </w:rPr>
        <w:t>. - Adaptar la organización y el funcionamiento</w:t>
      </w:r>
      <w:r w:rsidRPr="00ED0054">
        <w:rPr>
          <w:rFonts w:ascii="Calibri" w:hAnsi="Calibri" w:cs="Calibri"/>
          <w:i/>
          <w:color w:val="C45911"/>
        </w:rPr>
        <w:t xml:space="preserve"> de la entidad local (y de las entidades integrantes de su perímetro), así como del propio órgano de control interno, a las exigencias del nuevo modelo de control</w:t>
      </w:r>
      <w:r>
        <w:rPr>
          <w:rFonts w:ascii="Calibri" w:hAnsi="Calibri" w:cs="Calibri"/>
          <w:i/>
          <w:color w:val="C45911"/>
        </w:rPr>
        <w:t xml:space="preserve">, </w:t>
      </w:r>
      <w:r w:rsidRPr="00ED0054">
        <w:rPr>
          <w:rFonts w:ascii="Calibri" w:hAnsi="Calibri" w:cs="Calibri"/>
          <w:i/>
          <w:color w:val="C45911"/>
        </w:rPr>
        <w:t xml:space="preserve">según consta en el </w:t>
      </w:r>
      <w:r w:rsidRPr="00ED0054">
        <w:rPr>
          <w:rFonts w:ascii="Calibri" w:hAnsi="Calibri" w:cs="Calibri"/>
          <w:b/>
          <w:bCs/>
          <w:i/>
          <w:color w:val="C45911"/>
        </w:rPr>
        <w:t>ANEXO II</w:t>
      </w:r>
      <w:r w:rsidR="00264830">
        <w:rPr>
          <w:rFonts w:ascii="Calibri" w:hAnsi="Calibri" w:cs="Calibri"/>
          <w:i/>
          <w:color w:val="C45911"/>
        </w:rPr>
        <w:t xml:space="preserve">. </w:t>
      </w:r>
      <w:r>
        <w:rPr>
          <w:rFonts w:ascii="Calibri" w:hAnsi="Calibri" w:cs="Calibri"/>
          <w:i/>
          <w:color w:val="C45911"/>
        </w:rPr>
        <w:t xml:space="preserve"> Todo ello sin</w:t>
      </w:r>
      <w:r w:rsidRPr="00ED0054">
        <w:rPr>
          <w:rFonts w:ascii="Calibri" w:hAnsi="Calibri" w:cs="Calibri"/>
          <w:i/>
          <w:color w:val="C45911"/>
        </w:rPr>
        <w:t xml:space="preserve"> perjuicio de las adaptaciones que hayan de ser establecidas mediante decreto de la presidencia o instrucción de la Intervención o Secretaría-Intervención.</w:t>
      </w:r>
    </w:p>
    <w:p w:rsidR="007F7651" w:rsidRPr="00A16CFD" w:rsidRDefault="007F7651" w:rsidP="007F7651">
      <w:pPr>
        <w:jc w:val="both"/>
        <w:rPr>
          <w:rFonts w:ascii="Calibri" w:hAnsi="Calibri" w:cs="Calibri"/>
        </w:rPr>
      </w:pPr>
    </w:p>
    <w:p w:rsidR="00EA1CA1" w:rsidRPr="00EA1CA1" w:rsidRDefault="00C17F0F" w:rsidP="00EA1CA1">
      <w:pPr>
        <w:jc w:val="both"/>
        <w:rPr>
          <w:rFonts w:asciiTheme="minorHAnsi" w:hAnsiTheme="minorHAnsi" w:cstheme="minorHAnsi"/>
          <w:i/>
          <w:iCs/>
          <w:color w:val="C45911"/>
        </w:rPr>
      </w:pPr>
      <w:r w:rsidRPr="00EA1CA1">
        <w:rPr>
          <w:rStyle w:val="su"/>
          <w:rFonts w:asciiTheme="minorHAnsi" w:hAnsiTheme="minorHAnsi" w:cstheme="minorHAnsi"/>
          <w:b/>
          <w:bCs/>
          <w:color w:val="111111"/>
        </w:rPr>
        <w:tab/>
      </w:r>
      <w:r w:rsidR="00EA1CA1" w:rsidRPr="00EA1CA1">
        <w:rPr>
          <w:rStyle w:val="su"/>
          <w:rFonts w:asciiTheme="minorHAnsi" w:hAnsiTheme="minorHAnsi" w:cstheme="minorHAnsi"/>
          <w:b/>
          <w:color w:val="111111"/>
          <w:lang w:val="eu-ES"/>
        </w:rPr>
        <w:t>SEXTO</w:t>
      </w:r>
      <w:r w:rsidR="00EA1CA1" w:rsidRPr="00EA1CA1">
        <w:rPr>
          <w:rStyle w:val="su"/>
          <w:rFonts w:asciiTheme="minorHAnsi" w:hAnsiTheme="minorHAnsi" w:cstheme="minorHAnsi"/>
          <w:b/>
          <w:color w:val="111111"/>
        </w:rPr>
        <w:t>.-</w:t>
      </w:r>
      <w:r w:rsidR="00EA1CA1" w:rsidRPr="00EA1CA1">
        <w:rPr>
          <w:rFonts w:asciiTheme="minorHAnsi" w:hAnsiTheme="minorHAnsi" w:cstheme="minorHAnsi"/>
          <w:color w:val="000000" w:themeColor="text1"/>
        </w:rPr>
        <w:t xml:space="preserve"> L</w:t>
      </w:r>
      <w:r w:rsidR="00702CF8">
        <w:rPr>
          <w:rFonts w:asciiTheme="minorHAnsi" w:hAnsiTheme="minorHAnsi" w:cstheme="minorHAnsi"/>
          <w:color w:val="000000" w:themeColor="text1"/>
        </w:rPr>
        <w:t>o dispuesto en los apartados anteriores se aplicará a lo</w:t>
      </w:r>
      <w:r w:rsidR="00EA1CA1" w:rsidRPr="00EA1CA1">
        <w:rPr>
          <w:rFonts w:asciiTheme="minorHAnsi" w:hAnsiTheme="minorHAnsi" w:cstheme="minorHAnsi"/>
          <w:color w:val="000000" w:themeColor="text1"/>
        </w:rPr>
        <w:t xml:space="preserve">s expedientes tramitados por </w:t>
      </w:r>
      <w:r w:rsidR="00EA1CA1" w:rsidRPr="00EA1CA1">
        <w:rPr>
          <w:rFonts w:asciiTheme="minorHAnsi" w:hAnsiTheme="minorHAnsi" w:cstheme="minorHAnsi"/>
          <w:i/>
          <w:iCs/>
          <w:color w:val="C45911"/>
        </w:rPr>
        <w:t>[Nombre de la entidad local], [Nombre de los organismos autónomos locales], [Nombre de los consorcios adscritos cuyos actos sujetos al poder de decisión de la entidad local y para los que el Pleno ha determinado que estén sujetos a función interventora].</w:t>
      </w:r>
    </w:p>
    <w:p w:rsidR="00EA1CA1" w:rsidRPr="00EA1CA1" w:rsidRDefault="00EA1CA1" w:rsidP="00EA1CA1">
      <w:pPr>
        <w:jc w:val="both"/>
        <w:rPr>
          <w:rFonts w:asciiTheme="minorHAnsi" w:hAnsiTheme="minorHAnsi" w:cstheme="minorHAnsi"/>
          <w:i/>
          <w:color w:val="C45911"/>
        </w:rPr>
      </w:pPr>
    </w:p>
    <w:p w:rsidR="00EA1CA1" w:rsidRPr="00EA1CA1" w:rsidRDefault="00EA1CA1" w:rsidP="00EA1CA1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Style w:val="su"/>
          <w:rFonts w:asciiTheme="minorHAnsi" w:hAnsiTheme="minorHAnsi" w:cstheme="minorHAnsi"/>
          <w:b/>
          <w:color w:val="111111"/>
          <w:lang w:val="eu-ES"/>
        </w:rPr>
        <w:tab/>
      </w:r>
      <w:r w:rsidRPr="00EA1CA1">
        <w:rPr>
          <w:rStyle w:val="su"/>
          <w:rFonts w:asciiTheme="minorHAnsi" w:hAnsiTheme="minorHAnsi" w:cstheme="minorHAnsi"/>
          <w:b/>
          <w:color w:val="111111"/>
          <w:lang w:val="eu-ES"/>
        </w:rPr>
        <w:t>SÉPTIMO.-</w:t>
      </w:r>
      <w:r w:rsidRPr="00EA1CA1">
        <w:rPr>
          <w:rFonts w:asciiTheme="minorHAnsi" w:hAnsiTheme="minorHAnsi" w:cstheme="minorHAnsi"/>
          <w:color w:val="000000" w:themeColor="text1"/>
        </w:rPr>
        <w:t xml:space="preserve"> El presente acuerdo entrará en vigor al día siguiente de su aprobación por </w:t>
      </w:r>
      <w:r w:rsidR="00702CF8" w:rsidRPr="00702CF8">
        <w:rPr>
          <w:rFonts w:asciiTheme="minorHAnsi" w:hAnsiTheme="minorHAnsi" w:cstheme="minorHAnsi"/>
          <w:i/>
          <w:color w:val="C45911" w:themeColor="accent2" w:themeShade="BF"/>
        </w:rPr>
        <w:t>[</w:t>
      </w:r>
      <w:r w:rsidRPr="00702CF8">
        <w:rPr>
          <w:rFonts w:asciiTheme="minorHAnsi" w:hAnsiTheme="minorHAnsi" w:cstheme="minorHAnsi"/>
          <w:i/>
          <w:color w:val="C45911" w:themeColor="accent2" w:themeShade="BF"/>
        </w:rPr>
        <w:t>el Pleno</w:t>
      </w:r>
      <w:r w:rsidR="00702CF8" w:rsidRPr="00702CF8">
        <w:rPr>
          <w:rFonts w:asciiTheme="minorHAnsi" w:hAnsiTheme="minorHAnsi" w:cstheme="minorHAnsi"/>
          <w:i/>
          <w:color w:val="C45911" w:themeColor="accent2" w:themeShade="BF"/>
        </w:rPr>
        <w:t>/la Junta General]</w:t>
      </w:r>
      <w:r w:rsidRPr="00702CF8">
        <w:rPr>
          <w:rFonts w:asciiTheme="minorHAnsi" w:hAnsiTheme="minorHAnsi" w:cstheme="minorHAnsi"/>
          <w:color w:val="C45911" w:themeColor="accent2" w:themeShade="BF"/>
        </w:rPr>
        <w:t xml:space="preserve"> </w:t>
      </w:r>
      <w:r w:rsidRPr="00EA1CA1">
        <w:rPr>
          <w:rFonts w:asciiTheme="minorHAnsi" w:hAnsiTheme="minorHAnsi" w:cstheme="minorHAnsi"/>
          <w:color w:val="000000" w:themeColor="text1"/>
        </w:rPr>
        <w:t xml:space="preserve">de la entidad y se aplicará a todos los expedientes, actos y acuerdos que se inicien con posterioridad al mismo, así como a aquellos que se hubieran iniciado con anterioridad y todavía no se encontrasen en fase de fiscalización e intervención previa. </w:t>
      </w:r>
    </w:p>
    <w:p w:rsidR="007F7651" w:rsidRPr="00A16CFD" w:rsidRDefault="007F7651" w:rsidP="007F7651">
      <w:pPr>
        <w:jc w:val="both"/>
        <w:rPr>
          <w:rFonts w:ascii="Calibri" w:hAnsi="Calibri" w:cs="Calibri"/>
        </w:rPr>
      </w:pPr>
    </w:p>
    <w:p w:rsidR="007F7651" w:rsidRPr="00A16CFD" w:rsidRDefault="007F7651" w:rsidP="007F7651">
      <w:pPr>
        <w:jc w:val="both"/>
        <w:rPr>
          <w:rFonts w:ascii="Calibri" w:hAnsi="Calibri" w:cs="Calibri"/>
        </w:rPr>
      </w:pPr>
    </w:p>
    <w:p w:rsidR="007F7651" w:rsidRPr="00A16CFD" w:rsidRDefault="007F7651" w:rsidP="007F7651">
      <w:pPr>
        <w:jc w:val="center"/>
        <w:rPr>
          <w:rFonts w:ascii="Calibri" w:hAnsi="Calibri" w:cs="Calibri"/>
        </w:rPr>
      </w:pPr>
      <w:r w:rsidRPr="00A16CFD">
        <w:rPr>
          <w:rFonts w:ascii="Calibri" w:hAnsi="Calibri" w:cs="Calibri"/>
        </w:rPr>
        <w:t xml:space="preserve">En </w:t>
      </w:r>
      <w:bookmarkStart w:id="4" w:name="TRAM__MUNI"/>
      <w:r w:rsidRPr="00A16CFD">
        <w:rPr>
          <w:rFonts w:ascii="Calibri" w:hAnsi="Calibri" w:cs="Calibri"/>
        </w:rPr>
        <w:t>____________</w:t>
      </w:r>
      <w:bookmarkEnd w:id="4"/>
      <w:r w:rsidRPr="00A16CFD">
        <w:rPr>
          <w:rFonts w:ascii="Calibri" w:hAnsi="Calibri" w:cs="Calibri"/>
        </w:rPr>
        <w:t xml:space="preserve">, a </w:t>
      </w:r>
      <w:bookmarkStart w:id="5" w:name="DOC__FECHA__GEN__FL"/>
      <w:r w:rsidRPr="00A16CFD">
        <w:rPr>
          <w:rFonts w:ascii="Calibri" w:hAnsi="Calibri" w:cs="Calibri"/>
        </w:rPr>
        <w:t>____________</w:t>
      </w:r>
      <w:bookmarkEnd w:id="5"/>
    </w:p>
    <w:p w:rsidR="007F7651" w:rsidRPr="00A16CFD" w:rsidRDefault="007F7651" w:rsidP="007F7651">
      <w:pPr>
        <w:jc w:val="center"/>
        <w:rPr>
          <w:rFonts w:ascii="Calibri" w:hAnsi="Calibri" w:cs="Calibri"/>
        </w:rPr>
      </w:pPr>
    </w:p>
    <w:p w:rsidR="007F7651" w:rsidRPr="00A16CFD" w:rsidRDefault="007F7651" w:rsidP="007F7651">
      <w:pPr>
        <w:jc w:val="center"/>
        <w:rPr>
          <w:rFonts w:ascii="Calibri" w:hAnsi="Calibri" w:cs="Calibri"/>
        </w:rPr>
      </w:pPr>
    </w:p>
    <w:p w:rsidR="007F7651" w:rsidRPr="00A16CFD" w:rsidRDefault="007F7651" w:rsidP="007F7651">
      <w:pPr>
        <w:jc w:val="center"/>
        <w:rPr>
          <w:rFonts w:ascii="Calibri" w:hAnsi="Calibri" w:cs="Calibri"/>
          <w:i/>
          <w:color w:val="C45911"/>
        </w:rPr>
      </w:pPr>
      <w:r w:rsidRPr="00A16CFD">
        <w:rPr>
          <w:rFonts w:ascii="Calibri" w:hAnsi="Calibri" w:cs="Calibri"/>
          <w:i/>
          <w:color w:val="C45911"/>
        </w:rPr>
        <w:t xml:space="preserve">[ALCALDIA   </w:t>
      </w:r>
      <w:proofErr w:type="gramStart"/>
      <w:r w:rsidRPr="00A16CFD">
        <w:rPr>
          <w:rFonts w:ascii="Calibri" w:hAnsi="Calibri" w:cs="Calibri"/>
          <w:i/>
          <w:color w:val="C45911"/>
        </w:rPr>
        <w:t>/  PRESIDENCIA</w:t>
      </w:r>
      <w:proofErr w:type="gramEnd"/>
      <w:r w:rsidRPr="00A16CFD">
        <w:rPr>
          <w:rFonts w:ascii="Calibri" w:hAnsi="Calibri" w:cs="Calibri"/>
          <w:i/>
          <w:color w:val="C45911"/>
        </w:rPr>
        <w:t>]</w:t>
      </w:r>
    </w:p>
    <w:p w:rsidR="007F7651" w:rsidRPr="00A16CFD" w:rsidRDefault="007F7651" w:rsidP="007F7651">
      <w:pPr>
        <w:jc w:val="center"/>
        <w:rPr>
          <w:rFonts w:ascii="Calibri" w:hAnsi="Calibri" w:cs="Calibri"/>
        </w:rPr>
      </w:pPr>
    </w:p>
    <w:p w:rsidR="000F6EE3" w:rsidRDefault="007F7651" w:rsidP="00EA1CA1">
      <w:pPr>
        <w:jc w:val="center"/>
        <w:rPr>
          <w:rFonts w:ascii="Calibri" w:hAnsi="Calibri" w:cs="Calibri"/>
        </w:rPr>
      </w:pPr>
      <w:r w:rsidRPr="00A16CFD">
        <w:rPr>
          <w:rFonts w:ascii="Calibri" w:hAnsi="Calibri" w:cs="Calibri"/>
        </w:rPr>
        <w:t xml:space="preserve">Fdo. </w:t>
      </w:r>
      <w:bookmarkStart w:id="6" w:name="NOM__ALCALDE"/>
      <w:r w:rsidRPr="00A16CFD">
        <w:rPr>
          <w:rFonts w:ascii="Calibri" w:hAnsi="Calibri" w:cs="Calibri"/>
        </w:rPr>
        <w:t>____________</w:t>
      </w:r>
      <w:bookmarkEnd w:id="6"/>
    </w:p>
    <w:p w:rsidR="00264830" w:rsidRDefault="00264830" w:rsidP="00264830">
      <w:pPr>
        <w:rPr>
          <w:rFonts w:ascii="Calibri" w:hAnsi="Calibri" w:cs="Calibri"/>
          <w:b/>
          <w:color w:val="0070C0"/>
        </w:rPr>
      </w:pPr>
    </w:p>
    <w:p w:rsidR="00264830" w:rsidRPr="00264830" w:rsidRDefault="00264830" w:rsidP="00264830">
      <w:pPr>
        <w:rPr>
          <w:rFonts w:ascii="Calibri" w:hAnsi="Calibri" w:cs="Calibri"/>
          <w:b/>
          <w:color w:val="0070C0"/>
        </w:rPr>
      </w:pPr>
      <w:bookmarkStart w:id="7" w:name="_GoBack"/>
      <w:bookmarkEnd w:id="7"/>
      <w:r w:rsidRPr="00264830">
        <w:rPr>
          <w:rFonts w:ascii="Calibri" w:hAnsi="Calibri" w:cs="Calibri"/>
          <w:b/>
          <w:color w:val="0070C0"/>
        </w:rPr>
        <w:t>ANEXO I</w:t>
      </w:r>
    </w:p>
    <w:p w:rsidR="00264830" w:rsidRPr="00264830" w:rsidRDefault="00264830" w:rsidP="00264830">
      <w:pPr>
        <w:rPr>
          <w:b/>
          <w:color w:val="0070C0"/>
        </w:rPr>
      </w:pPr>
      <w:r w:rsidRPr="00264830">
        <w:rPr>
          <w:rFonts w:ascii="Calibri" w:hAnsi="Calibri" w:cs="Calibri"/>
          <w:b/>
          <w:color w:val="0070C0"/>
        </w:rPr>
        <w:t>ANEXO II</w:t>
      </w:r>
    </w:p>
    <w:sectPr w:rsidR="00264830" w:rsidRPr="00264830" w:rsidSect="00264830">
      <w:pgSz w:w="11906" w:h="16838"/>
      <w:pgMar w:top="1701" w:right="1416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52DC6"/>
    <w:multiLevelType w:val="hybridMultilevel"/>
    <w:tmpl w:val="62CEEE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0753D"/>
    <w:multiLevelType w:val="hybridMultilevel"/>
    <w:tmpl w:val="C906A62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651"/>
    <w:rsid w:val="000F6EE3"/>
    <w:rsid w:val="00196F67"/>
    <w:rsid w:val="00264830"/>
    <w:rsid w:val="00352659"/>
    <w:rsid w:val="005B1E65"/>
    <w:rsid w:val="00702CF8"/>
    <w:rsid w:val="00776AC6"/>
    <w:rsid w:val="007F7651"/>
    <w:rsid w:val="008734FF"/>
    <w:rsid w:val="00B76D9D"/>
    <w:rsid w:val="00BC2FEC"/>
    <w:rsid w:val="00C17F0F"/>
    <w:rsid w:val="00C92CFE"/>
    <w:rsid w:val="00EA1CA1"/>
    <w:rsid w:val="00E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F6307"/>
  <w15:chartTrackingRefBased/>
  <w15:docId w15:val="{D64780AF-7D08-457D-AB6F-BEBFBA14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7F7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su">
    <w:name w:val="su"/>
    <w:basedOn w:val="Paragrafoarenletra-tipolehenetsia"/>
    <w:rsid w:val="007F7651"/>
  </w:style>
  <w:style w:type="character" w:styleId="Lodia">
    <w:name w:val="Strong"/>
    <w:qFormat/>
    <w:rsid w:val="007F76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ARIZTONDO URRETABIZKAIA, Jone</dc:creator>
  <cp:keywords/>
  <dc:description/>
  <cp:lastModifiedBy>ARIZTONDO URRETABIZKAIA, Jone</cp:lastModifiedBy>
  <cp:revision>9</cp:revision>
  <cp:lastPrinted>2024-02-26T13:41:00Z</cp:lastPrinted>
  <dcterms:created xsi:type="dcterms:W3CDTF">2024-02-26T10:59:00Z</dcterms:created>
  <dcterms:modified xsi:type="dcterms:W3CDTF">2024-02-26T15:24:00Z</dcterms:modified>
</cp:coreProperties>
</file>